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0B" w:rsidRPr="00844549" w:rsidRDefault="00160C74" w:rsidP="000B3639">
      <w:pPr>
        <w:ind w:right="140"/>
        <w:jc w:val="center"/>
        <w:rPr>
          <w:b/>
          <w:sz w:val="28"/>
          <w:szCs w:val="28"/>
        </w:rPr>
      </w:pPr>
      <w:bookmarkStart w:id="0" w:name="_GoBack"/>
      <w:bookmarkEnd w:id="0"/>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w:t>
      </w:r>
      <w:proofErr w:type="gramStart"/>
      <w:r w:rsidRPr="004B1A3F">
        <w:rPr>
          <w:sz w:val="28"/>
          <w:szCs w:val="28"/>
        </w:rPr>
        <w:t xml:space="preserve">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w:t>
      </w:r>
      <w:proofErr w:type="gramEnd"/>
      <w:r w:rsidR="00861488">
        <w:rPr>
          <w:sz w:val="28"/>
          <w:szCs w:val="28"/>
        </w:rPr>
        <w:t xml:space="preserve">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w:t>
      </w:r>
      <w:proofErr w:type="spellStart"/>
      <w:r w:rsidR="00DD5EEA">
        <w:rPr>
          <w:sz w:val="28"/>
          <w:szCs w:val="28"/>
        </w:rPr>
        <w:t>бакалавриата</w:t>
      </w:r>
      <w:proofErr w:type="spellEnd"/>
      <w:r w:rsidR="00DD5EEA">
        <w:rPr>
          <w:sz w:val="28"/>
          <w:szCs w:val="28"/>
        </w:rPr>
        <w:t xml:space="preserve"> и </w:t>
      </w:r>
      <w:proofErr w:type="spellStart"/>
      <w:r w:rsidR="00DD5EEA">
        <w:rPr>
          <w:sz w:val="28"/>
          <w:szCs w:val="28"/>
        </w:rPr>
        <w:t>специалитета</w:t>
      </w:r>
      <w:proofErr w:type="spellEnd"/>
      <w:r w:rsidR="00DD5EEA">
        <w:rPr>
          <w:sz w:val="28"/>
          <w:szCs w:val="28"/>
        </w:rPr>
        <w:t xml:space="preserve"> в образовательные </w:t>
      </w:r>
      <w:r w:rsidR="008C69F4" w:rsidRPr="008C69F4">
        <w:rPr>
          <w:sz w:val="28"/>
          <w:szCs w:val="28"/>
        </w:rPr>
        <w:t xml:space="preserve">организации высшего образования по желанию также может проводиться </w:t>
      </w:r>
      <w:proofErr w:type="gramStart"/>
      <w:r w:rsidR="008C69F4" w:rsidRPr="008C69F4">
        <w:rPr>
          <w:sz w:val="28"/>
          <w:szCs w:val="28"/>
        </w:rPr>
        <w:t>для</w:t>
      </w:r>
      <w:proofErr w:type="gramEnd"/>
      <w:r w:rsidR="008C69F4" w:rsidRPr="008C69F4">
        <w:rPr>
          <w:sz w:val="28"/>
          <w:szCs w:val="28"/>
        </w:rPr>
        <w:t>:</w:t>
      </w:r>
    </w:p>
    <w:p w:rsidR="008C69F4" w:rsidRPr="008C69F4" w:rsidRDefault="00DD5EEA" w:rsidP="008C69F4">
      <w:pPr>
        <w:ind w:firstLine="709"/>
        <w:jc w:val="both"/>
        <w:rPr>
          <w:sz w:val="28"/>
          <w:szCs w:val="28"/>
        </w:rPr>
      </w:pPr>
      <w:proofErr w:type="gramStart"/>
      <w:r>
        <w:rPr>
          <w:sz w:val="28"/>
          <w:szCs w:val="28"/>
        </w:rPr>
        <w:lastRenderedPageBreak/>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w:t>
      </w:r>
      <w:proofErr w:type="gramEnd"/>
      <w:r>
        <w:rPr>
          <w:sz w:val="28"/>
          <w:szCs w:val="28"/>
        </w:rPr>
        <w:t xml:space="preserve"> иностранных </w:t>
      </w:r>
      <w:proofErr w:type="gramStart"/>
      <w:r w:rsidR="008C69F4" w:rsidRPr="008C69F4">
        <w:rPr>
          <w:sz w:val="28"/>
          <w:szCs w:val="28"/>
        </w:rPr>
        <w:t>организациях</w:t>
      </w:r>
      <w:proofErr w:type="gramEnd"/>
      <w:r w:rsidR="008C69F4" w:rsidRPr="008C69F4">
        <w:rPr>
          <w:sz w:val="28"/>
          <w:szCs w:val="28"/>
        </w:rPr>
        <w:t>,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 xml:space="preserve">организациях, осуществляющих образовательную деятельность (далее – </w:t>
      </w:r>
      <w:proofErr w:type="gramStart"/>
      <w:r w:rsidR="008C69F4" w:rsidRPr="008C69F4">
        <w:rPr>
          <w:sz w:val="28"/>
          <w:szCs w:val="28"/>
        </w:rPr>
        <w:t>иностранные</w:t>
      </w:r>
      <w:proofErr w:type="gramEnd"/>
      <w:r w:rsidR="008C69F4" w:rsidRPr="008C69F4">
        <w:rPr>
          <w:sz w:val="28"/>
          <w:szCs w:val="28"/>
        </w:rPr>
        <w:t xml:space="preserve">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roofErr w:type="gramEnd"/>
    </w:p>
    <w:p w:rsidR="008C69F4" w:rsidRPr="008C69F4" w:rsidRDefault="008C69F4" w:rsidP="008C69F4">
      <w:pPr>
        <w:ind w:firstLine="709"/>
        <w:jc w:val="both"/>
        <w:rPr>
          <w:sz w:val="28"/>
          <w:szCs w:val="28"/>
        </w:rPr>
      </w:pPr>
      <w:r w:rsidRPr="008C69F4">
        <w:rPr>
          <w:sz w:val="28"/>
          <w:szCs w:val="28"/>
        </w:rPr>
        <w:t xml:space="preserve">2.4.  </w:t>
      </w:r>
      <w:proofErr w:type="gramStart"/>
      <w:r w:rsidRPr="008C69F4">
        <w:rPr>
          <w:sz w:val="28"/>
          <w:szCs w:val="28"/>
        </w:rPr>
        <w:t>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итоговом  сочинении (изложении)  по  окончании  X  класса  (абзац  3  пункта  10 и  пункт  19  Порядка  проведения государственной  итоговой  аттестации  по</w:t>
      </w:r>
      <w:proofErr w:type="gramEnd"/>
      <w:r w:rsidRPr="008C69F4">
        <w:rPr>
          <w:sz w:val="28"/>
          <w:szCs w:val="28"/>
        </w:rPr>
        <w:t xml:space="preserve">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w:t>
      </w:r>
      <w:r w:rsidR="00DD5EEA">
        <w:rPr>
          <w:sz w:val="28"/>
          <w:szCs w:val="28"/>
        </w:rPr>
        <w:t xml:space="preserve"> науки  от  7  ноября  2018  года </w:t>
      </w:r>
      <w:r w:rsidRPr="008C69F4">
        <w:rPr>
          <w:sz w:val="28"/>
          <w:szCs w:val="28"/>
        </w:rPr>
        <w:t>№  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2"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w:t>
      </w:r>
      <w:r w:rsidRPr="00F34CAC">
        <w:rPr>
          <w:sz w:val="28"/>
          <w:szCs w:val="28"/>
        </w:rPr>
        <w:lastRenderedPageBreak/>
        <w:t xml:space="preserve">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proofErr w:type="gramStart"/>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 xml:space="preserve">нии из числа </w:t>
      </w:r>
      <w:proofErr w:type="gramStart"/>
      <w:r w:rsidR="00DD5EEA">
        <w:rPr>
          <w:sz w:val="28"/>
          <w:szCs w:val="28"/>
        </w:rPr>
        <w:t>установленных</w:t>
      </w:r>
      <w:proofErr w:type="gramEnd"/>
      <w:r w:rsidR="00DD5EEA">
        <w:rPr>
          <w:sz w:val="28"/>
          <w:szCs w:val="28"/>
        </w:rPr>
        <w:t xml:space="preserve">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Регистрация  лиц </w:t>
      </w:r>
      <w:proofErr w:type="gramStart"/>
      <w:r>
        <w:rPr>
          <w:sz w:val="28"/>
          <w:szCs w:val="28"/>
        </w:rPr>
        <w:t xml:space="preserve">со справкой об обучении для </w:t>
      </w:r>
      <w:r w:rsidRPr="002F1DC6">
        <w:rPr>
          <w:sz w:val="28"/>
          <w:szCs w:val="28"/>
        </w:rPr>
        <w:t>уча</w:t>
      </w:r>
      <w:r>
        <w:rPr>
          <w:sz w:val="28"/>
          <w:szCs w:val="28"/>
        </w:rPr>
        <w:t xml:space="preserve">стия по </w:t>
      </w:r>
      <w:r w:rsidR="00DD5EEA">
        <w:rPr>
          <w:sz w:val="28"/>
          <w:szCs w:val="28"/>
        </w:rPr>
        <w:t>их  желанию в итоговом сочинении</w:t>
      </w:r>
      <w:proofErr w:type="gramEnd"/>
      <w:r w:rsidR="00DD5EEA">
        <w:rPr>
          <w:sz w:val="28"/>
          <w:szCs w:val="28"/>
        </w:rPr>
        <w:t xml:space="preserve">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 xml:space="preserve">необходимый  для прохождения ГИА. При подаче заявления такие лица предъявляют справку об </w:t>
      </w:r>
      <w:proofErr w:type="gramStart"/>
      <w:r w:rsidRPr="002F1DC6">
        <w:rPr>
          <w:sz w:val="28"/>
          <w:szCs w:val="28"/>
        </w:rPr>
        <w:t>обуче</w:t>
      </w:r>
      <w:r w:rsidR="00DD5EEA">
        <w:rPr>
          <w:sz w:val="28"/>
          <w:szCs w:val="28"/>
        </w:rPr>
        <w:t>нии по образцу</w:t>
      </w:r>
      <w:proofErr w:type="gramEnd"/>
      <w:r w:rsidR="00DD5EEA">
        <w:rPr>
          <w:sz w:val="28"/>
          <w:szCs w:val="28"/>
        </w:rPr>
        <w:t xml:space="preserve">, самостоятельно </w:t>
      </w:r>
      <w:r w:rsidRPr="002F1DC6">
        <w:rPr>
          <w:sz w:val="28"/>
          <w:szCs w:val="28"/>
        </w:rPr>
        <w:t>у</w:t>
      </w:r>
      <w:r w:rsidR="00DD5EEA">
        <w:rPr>
          <w:sz w:val="28"/>
          <w:szCs w:val="28"/>
        </w:rPr>
        <w:t xml:space="preserve">станавливаемому  организацией,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lastRenderedPageBreak/>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 xml:space="preserve">нирования  оригиналов бланков </w:t>
      </w:r>
      <w:r w:rsidRPr="004B1A3F">
        <w:rPr>
          <w:sz w:val="28"/>
          <w:szCs w:val="28"/>
        </w:rPr>
        <w:t>участников итогового</w:t>
      </w:r>
      <w:proofErr w:type="gramEnd"/>
      <w:r w:rsidRPr="004B1A3F">
        <w:rPr>
          <w:sz w:val="28"/>
          <w:szCs w:val="28"/>
        </w:rPr>
        <w:t xml:space="preserve">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lastRenderedPageBreak/>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proofErr w:type="gramStart"/>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w:t>
      </w:r>
      <w:proofErr w:type="gramEnd"/>
      <w:r w:rsidR="0080522A" w:rsidRPr="0080522A">
        <w:rPr>
          <w:sz w:val="28"/>
          <w:szCs w:val="28"/>
        </w:rPr>
        <w:t xml:space="preserve">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w:t>
      </w:r>
      <w:proofErr w:type="gramEnd"/>
      <w:r w:rsidRPr="00111F7A">
        <w:rPr>
          <w:sz w:val="28"/>
          <w:szCs w:val="28"/>
        </w:rPr>
        <w:t xml:space="preserve">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lastRenderedPageBreak/>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с  критериями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 xml:space="preserve">дарных дней </w:t>
      </w:r>
      <w:proofErr w:type="gramStart"/>
      <w:r>
        <w:rPr>
          <w:sz w:val="28"/>
          <w:szCs w:val="28"/>
        </w:rPr>
        <w:t>с даты проведения</w:t>
      </w:r>
      <w:proofErr w:type="gramEnd"/>
      <w:r>
        <w:rPr>
          <w:sz w:val="28"/>
          <w:szCs w:val="28"/>
        </w:rPr>
        <w:t xml:space="preserve">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lastRenderedPageBreak/>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proofErr w:type="gramStart"/>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w:t>
      </w:r>
      <w:proofErr w:type="gramEnd"/>
      <w:r w:rsidRPr="00852D66">
        <w:rPr>
          <w:sz w:val="28"/>
          <w:szCs w:val="28"/>
        </w:rPr>
        <w:t>» («</w:t>
      </w:r>
      <w:proofErr w:type="gramStart"/>
      <w:r w:rsidRPr="00852D66">
        <w:rPr>
          <w:sz w:val="28"/>
          <w:szCs w:val="28"/>
        </w:rPr>
        <w:t>Удален</w:t>
      </w:r>
      <w:proofErr w:type="gramEnd"/>
      <w:r w:rsidRPr="00852D66">
        <w:rPr>
          <w:sz w:val="28"/>
          <w:szCs w:val="28"/>
        </w:rPr>
        <w:t xml:space="preserve">»),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proofErr w:type="gramStart"/>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w:t>
      </w:r>
      <w:proofErr w:type="gramEnd"/>
      <w:r w:rsidRPr="00C03764">
        <w:rPr>
          <w:sz w:val="28"/>
          <w:szCs w:val="28"/>
        </w:rPr>
        <w:t xml:space="preserve">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proofErr w:type="gramStart"/>
      <w:r>
        <w:rPr>
          <w:sz w:val="28"/>
          <w:szCs w:val="28"/>
        </w:rPr>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w:t>
      </w:r>
      <w:proofErr w:type="gramEnd"/>
      <w:r>
        <w:rPr>
          <w:sz w:val="28"/>
          <w:szCs w:val="28"/>
        </w:rPr>
        <w:t xml:space="preserve"> итогового сочинения (изложения),</w:t>
      </w:r>
      <w:r w:rsidR="00FB7DFE">
        <w:rPr>
          <w:sz w:val="28"/>
          <w:szCs w:val="28"/>
        </w:rPr>
        <w:t xml:space="preserve"> </w:t>
      </w:r>
      <w:proofErr w:type="gramStart"/>
      <w:r w:rsidR="00FB7DFE">
        <w:rPr>
          <w:sz w:val="28"/>
          <w:szCs w:val="28"/>
        </w:rPr>
        <w:t>полученных</w:t>
      </w:r>
      <w:proofErr w:type="gramEnd"/>
      <w:r w:rsidR="00FB7DFE">
        <w:rPr>
          <w:sz w:val="28"/>
          <w:szCs w:val="28"/>
        </w:rPr>
        <w:t xml:space="preserve"> обучающимися;</w:t>
      </w:r>
    </w:p>
    <w:p w:rsidR="00FB7DFE" w:rsidRDefault="00FB7DFE" w:rsidP="00F279D6">
      <w:pPr>
        <w:widowControl w:val="0"/>
        <w:ind w:firstLine="709"/>
        <w:jc w:val="both"/>
        <w:rPr>
          <w:sz w:val="28"/>
          <w:szCs w:val="28"/>
        </w:rPr>
      </w:pPr>
      <w:r>
        <w:rPr>
          <w:sz w:val="28"/>
          <w:szCs w:val="28"/>
        </w:rPr>
        <w:lastRenderedPageBreak/>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proofErr w:type="gramStart"/>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w:t>
      </w:r>
      <w:proofErr w:type="gramEnd"/>
      <w:r w:rsidRPr="00F279D6">
        <w:rPr>
          <w:sz w:val="28"/>
          <w:szCs w:val="28"/>
        </w:rPr>
        <w:t xml:space="preserve">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lastRenderedPageBreak/>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proofErr w:type="gramStart"/>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и приема</w:t>
      </w:r>
      <w:proofErr w:type="gramEnd"/>
      <w:r>
        <w:rPr>
          <w:sz w:val="28"/>
          <w:szCs w:val="28"/>
        </w:rPr>
        <w:t xml:space="preserve"> </w:t>
      </w:r>
      <w:proofErr w:type="gramStart"/>
      <w:r>
        <w:rPr>
          <w:sz w:val="28"/>
          <w:szCs w:val="28"/>
        </w:rPr>
        <w:t xml:space="preserve">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roofErr w:type="gramEnd"/>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w:t>
      </w:r>
      <w:proofErr w:type="gramStart"/>
      <w:r>
        <w:rPr>
          <w:sz w:val="28"/>
          <w:szCs w:val="28"/>
        </w:rPr>
        <w:t>позднее</w:t>
      </w:r>
      <w:proofErr w:type="gramEnd"/>
      <w:r>
        <w:rPr>
          <w:sz w:val="28"/>
          <w:szCs w:val="28"/>
        </w:rPr>
        <w:t xml:space="preserve">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 xml:space="preserve">В  случае возникновения нештатных ситуаций </w:t>
      </w:r>
      <w:r w:rsidRPr="00697CF3">
        <w:rPr>
          <w:sz w:val="28"/>
          <w:szCs w:val="28"/>
        </w:rPr>
        <w:t xml:space="preserve">(недоступность  или </w:t>
      </w:r>
      <w:proofErr w:type="gramEnd"/>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w:t>
      </w:r>
      <w:r w:rsidRPr="00697CF3">
        <w:rPr>
          <w:sz w:val="28"/>
          <w:szCs w:val="28"/>
        </w:rPr>
        <w:lastRenderedPageBreak/>
        <w:t xml:space="preserve">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lastRenderedPageBreak/>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proofErr w:type="spellStart"/>
      <w:r>
        <w:rPr>
          <w:sz w:val="28"/>
          <w:szCs w:val="28"/>
        </w:rPr>
        <w:t>Рособрнадзором</w:t>
      </w:r>
      <w:proofErr w:type="spellEnd"/>
      <w:r>
        <w:rPr>
          <w:sz w:val="28"/>
          <w:szCs w:val="28"/>
        </w:rPr>
        <w:t>,</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w:t>
      </w:r>
      <w:r w:rsidR="00312300" w:rsidRPr="00312300">
        <w:rPr>
          <w:sz w:val="28"/>
          <w:szCs w:val="28"/>
        </w:rPr>
        <w:lastRenderedPageBreak/>
        <w:t xml:space="preserve">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lastRenderedPageBreak/>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proofErr w:type="gramStart"/>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roofErr w:type="gramEnd"/>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членом  комиссии  </w:t>
      </w:r>
      <w:proofErr w:type="gramStart"/>
      <w:r w:rsidRPr="00491EA8">
        <w:rPr>
          <w:sz w:val="28"/>
          <w:szCs w:val="28"/>
        </w:rPr>
        <w:t>по</w:t>
      </w:r>
      <w:proofErr w:type="gramEnd"/>
      <w:r w:rsidRPr="00491EA8">
        <w:rPr>
          <w:sz w:val="28"/>
          <w:szCs w:val="28"/>
        </w:rPr>
        <w:t xml:space="preserve">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proofErr w:type="gramStart"/>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roofErr w:type="gramEnd"/>
    </w:p>
    <w:p w:rsidR="00A857C9" w:rsidRDefault="004B1A3F" w:rsidP="00E27A6B">
      <w:pPr>
        <w:pStyle w:val="af9"/>
        <w:ind w:left="0" w:firstLine="709"/>
        <w:jc w:val="both"/>
        <w:rPr>
          <w:sz w:val="28"/>
          <w:szCs w:val="28"/>
        </w:rPr>
      </w:pPr>
      <w:r>
        <w:rPr>
          <w:sz w:val="28"/>
          <w:szCs w:val="28"/>
        </w:rPr>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lastRenderedPageBreak/>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roofErr w:type="gramEnd"/>
    </w:p>
    <w:p w:rsidR="00312300" w:rsidRPr="00312300"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roofErr w:type="gramEnd"/>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lastRenderedPageBreak/>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proofErr w:type="gramStart"/>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 xml:space="preserve">для организации питания и  перерывов для </w:t>
      </w:r>
      <w:r w:rsidRPr="00612681">
        <w:rPr>
          <w:rFonts w:eastAsia="Times New Roman"/>
          <w:sz w:val="28"/>
          <w:szCs w:val="28"/>
        </w:rPr>
        <w:lastRenderedPageBreak/>
        <w:t>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lastRenderedPageBreak/>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альтернативной коммуникации (за исключением сре</w:t>
      </w:r>
      <w:proofErr w:type="gramStart"/>
      <w:r>
        <w:rPr>
          <w:rFonts w:eastAsia="Times New Roman"/>
          <w:sz w:val="28"/>
          <w:szCs w:val="28"/>
        </w:rPr>
        <w:t>дств св</w:t>
      </w:r>
      <w:proofErr w:type="gramEnd"/>
      <w:r>
        <w:rPr>
          <w:rFonts w:eastAsia="Times New Roman"/>
          <w:sz w:val="28"/>
          <w:szCs w:val="28"/>
        </w:rPr>
        <w:t xml:space="preserve">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roofErr w:type="gramEnd"/>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w:t>
      </w:r>
      <w:proofErr w:type="spellStart"/>
      <w:r w:rsidR="00A807A3">
        <w:rPr>
          <w:sz w:val="28"/>
          <w:szCs w:val="28"/>
        </w:rPr>
        <w:t>сурдопереводчик</w:t>
      </w:r>
      <w:proofErr w:type="spellEnd"/>
      <w:r w:rsidR="00A807A3">
        <w:rPr>
          <w:sz w:val="28"/>
          <w:szCs w:val="28"/>
        </w:rPr>
        <w:t>.</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В учебных кабинетах устанавливаются компьютеры, не имеющие 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 xml:space="preserve">предусматривается достаточное количество специальных принадлежностей </w:t>
      </w:r>
      <w:r w:rsidRPr="00312300">
        <w:rPr>
          <w:sz w:val="28"/>
          <w:szCs w:val="28"/>
        </w:rPr>
        <w:lastRenderedPageBreak/>
        <w:t>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А</w:t>
      </w:r>
      <w:proofErr w:type="gramStart"/>
      <w:r w:rsidR="00AC4B5D" w:rsidRPr="00AC4B5D">
        <w:rPr>
          <w:sz w:val="28"/>
          <w:szCs w:val="28"/>
        </w:rPr>
        <w:t>4</w:t>
      </w:r>
      <w:proofErr w:type="gramEnd"/>
      <w:r w:rsidR="00AC4B5D" w:rsidRPr="00AC4B5D">
        <w:rPr>
          <w:sz w:val="28"/>
          <w:szCs w:val="28"/>
        </w:rPr>
        <w:t xml:space="preserve">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w:t>
      </w:r>
      <w:proofErr w:type="gramStart"/>
      <w:r>
        <w:rPr>
          <w:sz w:val="28"/>
          <w:szCs w:val="28"/>
        </w:rPr>
        <w:t xml:space="preserve">кст </w:t>
      </w:r>
      <w:r w:rsidRPr="00790949">
        <w:rPr>
          <w:sz w:val="28"/>
          <w:szCs w:val="28"/>
        </w:rPr>
        <w:t>дл</w:t>
      </w:r>
      <w:proofErr w:type="gramEnd"/>
      <w:r w:rsidRPr="00790949">
        <w:rPr>
          <w:sz w:val="28"/>
          <w:szCs w:val="28"/>
        </w:rPr>
        <w:t xml:space="preserve">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w:t>
      </w:r>
      <w:proofErr w:type="gramStart"/>
      <w:r w:rsidRPr="00790949">
        <w:rPr>
          <w:sz w:val="28"/>
          <w:szCs w:val="28"/>
        </w:rPr>
        <w:t>кст дл</w:t>
      </w:r>
      <w:proofErr w:type="gramEnd"/>
      <w:r w:rsidRPr="00790949">
        <w:rPr>
          <w:sz w:val="28"/>
          <w:szCs w:val="28"/>
        </w:rPr>
        <w:t xml:space="preserve">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тогового сочинения (изложения) забирает те</w:t>
      </w:r>
      <w:proofErr w:type="gramStart"/>
      <w:r>
        <w:rPr>
          <w:sz w:val="28"/>
          <w:szCs w:val="28"/>
        </w:rPr>
        <w:t xml:space="preserve">кст </w:t>
      </w:r>
      <w:r w:rsidRPr="00790949">
        <w:rPr>
          <w:sz w:val="28"/>
          <w:szCs w:val="28"/>
        </w:rPr>
        <w:t>дл</w:t>
      </w:r>
      <w:proofErr w:type="gramEnd"/>
      <w:r w:rsidRPr="00790949">
        <w:rPr>
          <w:sz w:val="28"/>
          <w:szCs w:val="28"/>
        </w:rPr>
        <w:t>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 xml:space="preserve">минут) может быть </w:t>
      </w:r>
      <w:proofErr w:type="gramStart"/>
      <w:r>
        <w:rPr>
          <w:sz w:val="28"/>
          <w:szCs w:val="28"/>
        </w:rPr>
        <w:t>осуществлен</w:t>
      </w:r>
      <w:proofErr w:type="gramEnd"/>
      <w:r w:rsidRPr="00790949">
        <w:rPr>
          <w:sz w:val="28"/>
          <w:szCs w:val="28"/>
        </w:rPr>
        <w:t xml:space="preserve"> </w:t>
      </w:r>
      <w:proofErr w:type="spellStart"/>
      <w:r w:rsidRPr="00790949">
        <w:rPr>
          <w:sz w:val="28"/>
          <w:szCs w:val="28"/>
        </w:rPr>
        <w:t>сурдоперевод</w:t>
      </w:r>
      <w:proofErr w:type="spellEnd"/>
      <w:r w:rsidRPr="00790949">
        <w:rPr>
          <w:sz w:val="28"/>
          <w:szCs w:val="28"/>
        </w:rPr>
        <w:t xml:space="preserve">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w:t>
      </w:r>
      <w:proofErr w:type="spellStart"/>
      <w:r w:rsidRPr="00790949">
        <w:rPr>
          <w:sz w:val="28"/>
          <w:szCs w:val="28"/>
        </w:rPr>
        <w:t>сурдоперевода</w:t>
      </w:r>
      <w:proofErr w:type="spellEnd"/>
      <w:r w:rsidRPr="00790949">
        <w:rPr>
          <w:sz w:val="28"/>
          <w:szCs w:val="28"/>
        </w:rPr>
        <w:t xml:space="preserve"> текста для итогового изложения 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Участники итогового изложения, которым те</w:t>
      </w:r>
      <w:proofErr w:type="gramStart"/>
      <w:r>
        <w:rPr>
          <w:sz w:val="28"/>
          <w:szCs w:val="28"/>
        </w:rPr>
        <w:t>кст дл</w:t>
      </w:r>
      <w:proofErr w:type="gramEnd"/>
      <w:r>
        <w:rPr>
          <w:sz w:val="28"/>
          <w:szCs w:val="28"/>
        </w:rPr>
        <w:t xml:space="preserve">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w:t>
      </w:r>
      <w:proofErr w:type="gramStart"/>
      <w:r w:rsidR="007524EB">
        <w:rPr>
          <w:sz w:val="28"/>
          <w:szCs w:val="28"/>
        </w:rPr>
        <w:t>кст дл</w:t>
      </w:r>
      <w:proofErr w:type="gramEnd"/>
      <w:r w:rsidR="007524EB">
        <w:rPr>
          <w:sz w:val="28"/>
          <w:szCs w:val="28"/>
        </w:rPr>
        <w:t>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8"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lastRenderedPageBreak/>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proofErr w:type="gramStart"/>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сочинения (изложения) такого участника.</w:t>
      </w:r>
      <w:proofErr w:type="gramEnd"/>
      <w:r w:rsidR="008E0E4D">
        <w:rPr>
          <w:sz w:val="28"/>
          <w:szCs w:val="28"/>
        </w:rPr>
        <w:t xml:space="preserve">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r>
        <w:rPr>
          <w:sz w:val="28"/>
          <w:szCs w:val="28"/>
        </w:rPr>
        <w:t xml:space="preserve">муниципальными  </w:t>
      </w:r>
      <w:r w:rsidRPr="00312300">
        <w:rPr>
          <w:sz w:val="28"/>
          <w:szCs w:val="28"/>
        </w:rPr>
        <w:t xml:space="preserve">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w:t>
      </w:r>
      <w:r w:rsidRPr="00312300">
        <w:rPr>
          <w:sz w:val="28"/>
          <w:szCs w:val="28"/>
        </w:rPr>
        <w:lastRenderedPageBreak/>
        <w:t xml:space="preserve">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proofErr w:type="gramStart"/>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roofErr w:type="gramEnd"/>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входящий в состав комиссии по проверке  итогового 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lastRenderedPageBreak/>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proofErr w:type="gramStart"/>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roofErr w:type="gramEnd"/>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roofErr w:type="gramEnd"/>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 xml:space="preserve">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проверя</w:t>
      </w:r>
      <w:r>
        <w:rPr>
          <w:sz w:val="28"/>
          <w:szCs w:val="28"/>
        </w:rPr>
        <w:t>ю</w:t>
      </w:r>
      <w:r w:rsidRPr="00312300">
        <w:rPr>
          <w:sz w:val="28"/>
          <w:szCs w:val="28"/>
        </w:rPr>
        <w:t>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 xml:space="preserve">проверку соблюдения участниками итогового сочинения (изложения) </w:t>
      </w:r>
      <w:r w:rsidRPr="00821E69">
        <w:rPr>
          <w:sz w:val="28"/>
          <w:szCs w:val="28"/>
        </w:rPr>
        <w:lastRenderedPageBreak/>
        <w:t>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9"/>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w:t>
      </w:r>
      <w:proofErr w:type="gramEnd"/>
      <w:r w:rsidR="004A7B80" w:rsidRPr="004A7B80">
        <w:rPr>
          <w:sz w:val="28"/>
          <w:szCs w:val="28"/>
        </w:rPr>
        <w:t xml:space="preserve">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w:t>
      </w:r>
      <w:r w:rsidRPr="00312300">
        <w:rPr>
          <w:sz w:val="28"/>
          <w:szCs w:val="28"/>
        </w:rPr>
        <w:lastRenderedPageBreak/>
        <w:t xml:space="preserve">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lastRenderedPageBreak/>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2"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2"/>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proofErr w:type="gramStart"/>
      <w:r w:rsidRPr="00292A8F">
        <w:rPr>
          <w:rFonts w:eastAsia="Times New Roman"/>
          <w:sz w:val="28"/>
          <w:szCs w:val="28"/>
          <w:shd w:val="clear" w:color="auto" w:fill="FFFFFF"/>
        </w:rPr>
        <w:t>Руководитель общеобразовательной организации обеспечивает  ознакомление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roofErr w:type="gramEnd"/>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9"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 xml:space="preserve">обучение по </w:t>
      </w:r>
      <w:r w:rsidRPr="00312300">
        <w:rPr>
          <w:sz w:val="28"/>
          <w:szCs w:val="28"/>
        </w:rPr>
        <w:lastRenderedPageBreak/>
        <w:t>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proofErr w:type="gramStart"/>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proofErr w:type="gramStart"/>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roofErr w:type="gramEnd"/>
    </w:p>
    <w:p w:rsidR="004D7467" w:rsidRDefault="006D7DBC" w:rsidP="004D7467">
      <w:pPr>
        <w:widowControl w:val="0"/>
        <w:ind w:firstLine="709"/>
        <w:jc w:val="both"/>
        <w:rPr>
          <w:sz w:val="28"/>
          <w:szCs w:val="28"/>
        </w:rPr>
      </w:pPr>
      <w:proofErr w:type="gramStart"/>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 xml:space="preserve">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xml:space="preserve">, регистрационный № 39572), при приеме на обучение по 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xml:space="preserve"> организация высшего  образовани</w:t>
      </w:r>
      <w:r>
        <w:rPr>
          <w:sz w:val="28"/>
          <w:szCs w:val="28"/>
        </w:rPr>
        <w:t>я может начислять баллы за оценку</w:t>
      </w:r>
      <w:proofErr w:type="gramEnd"/>
      <w:r>
        <w:rPr>
          <w:sz w:val="28"/>
          <w:szCs w:val="28"/>
        </w:rPr>
        <w:t xml:space="preserve">, </w:t>
      </w:r>
      <w:proofErr w:type="gramStart"/>
      <w:r>
        <w:rPr>
          <w:sz w:val="28"/>
          <w:szCs w:val="28"/>
        </w:rPr>
        <w:t>выставленную</w:t>
      </w:r>
      <w:proofErr w:type="gramEnd"/>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 xml:space="preserve">При приеме на обучение по программам </w:t>
      </w:r>
      <w:proofErr w:type="spellStart"/>
      <w:r>
        <w:rPr>
          <w:sz w:val="28"/>
          <w:szCs w:val="28"/>
        </w:rPr>
        <w:t>бакалавриата</w:t>
      </w:r>
      <w:proofErr w:type="spellEnd"/>
      <w:r>
        <w:rPr>
          <w:sz w:val="28"/>
          <w:szCs w:val="28"/>
        </w:rPr>
        <w:t>, программам</w:t>
      </w:r>
      <w:r w:rsidR="00AC1D6B" w:rsidRPr="00AC1D6B">
        <w:rPr>
          <w:sz w:val="28"/>
          <w:szCs w:val="28"/>
        </w:rPr>
        <w:t xml:space="preserve"> </w:t>
      </w:r>
      <w:proofErr w:type="spellStart"/>
      <w:r w:rsidR="00AC1D6B" w:rsidRPr="00AC1D6B">
        <w:rPr>
          <w:sz w:val="28"/>
          <w:szCs w:val="28"/>
        </w:rPr>
        <w:t>специалитета</w:t>
      </w:r>
      <w:proofErr w:type="spellEnd"/>
      <w:r w:rsidR="00AC1D6B" w:rsidRPr="00AC1D6B">
        <w:rPr>
          <w:sz w:val="28"/>
          <w:szCs w:val="28"/>
        </w:rPr>
        <w:t xml:space="preserve"> </w:t>
      </w:r>
      <w:proofErr w:type="gramStart"/>
      <w:r w:rsidR="00AC1D6B" w:rsidRPr="00AC1D6B">
        <w:rPr>
          <w:sz w:val="28"/>
          <w:szCs w:val="28"/>
        </w:rPr>
        <w:t>поступающему</w:t>
      </w:r>
      <w:proofErr w:type="gramEnd"/>
      <w:r w:rsidR="00AC1D6B" w:rsidRPr="00AC1D6B">
        <w:rPr>
          <w:sz w:val="28"/>
          <w:szCs w:val="28"/>
        </w:rPr>
        <w:t xml:space="preserve">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proofErr w:type="gramStart"/>
      <w:r>
        <w:rPr>
          <w:sz w:val="28"/>
          <w:szCs w:val="28"/>
        </w:rPr>
        <w:t>обучение</w:t>
      </w:r>
      <w:r w:rsidR="00AC1D6B" w:rsidRPr="00AC1D6B">
        <w:rPr>
          <w:sz w:val="28"/>
          <w:szCs w:val="28"/>
        </w:rPr>
        <w:t xml:space="preserve"> по </w:t>
      </w:r>
      <w:r>
        <w:rPr>
          <w:sz w:val="28"/>
          <w:szCs w:val="28"/>
        </w:rPr>
        <w:t>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8A3789" w:rsidRPr="00020892" w:rsidRDefault="008A3789" w:rsidP="008403F3">
      <w:pPr>
        <w:widowControl w:val="0"/>
        <w:ind w:firstLine="709"/>
        <w:contextualSpacing/>
        <w:jc w:val="right"/>
        <w:rPr>
          <w:sz w:val="24"/>
          <w:szCs w:val="24"/>
        </w:rPr>
      </w:pPr>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proofErr w:type="gramStart"/>
            <w:r w:rsidRPr="00513937">
              <w:rPr>
                <w:sz w:val="28"/>
                <w:szCs w:val="28"/>
              </w:rPr>
              <w:t>Серверная</w:t>
            </w:r>
            <w:proofErr w:type="gramEnd"/>
            <w:r w:rsidRPr="00513937">
              <w:rPr>
                <w:sz w:val="28"/>
                <w:szCs w:val="28"/>
              </w:rPr>
              <w:t xml:space="preserve">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6E08CA"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 xml:space="preserve">Специализированное  ПО,  обеспечивающее  сканирование бланков итоговых сочинений </w:t>
            </w:r>
            <w:proofErr w:type="gramEnd"/>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  обеспечивающее  распознавание изображений бланков итоговых сочинений</w:t>
            </w:r>
            <w:proofErr w:type="gramEnd"/>
          </w:p>
        </w:tc>
      </w:tr>
      <w:tr w:rsidR="00D717BA" w:rsidRPr="00D717BA" w:rsidTr="00C711C2">
        <w:trPr>
          <w:cantSplit/>
        </w:trPr>
        <w:tc>
          <w:tcPr>
            <w:tcW w:w="1692" w:type="pct"/>
            <w:shd w:val="clear" w:color="auto" w:fill="auto"/>
          </w:tcPr>
          <w:p w:rsidR="00D717BA" w:rsidRPr="00D717BA" w:rsidRDefault="00D717BA" w:rsidP="00DB4B2A">
            <w:pPr>
              <w:rPr>
                <w:sz w:val="28"/>
                <w:szCs w:val="28"/>
              </w:rPr>
            </w:pPr>
            <w:proofErr w:type="gramStart"/>
            <w:r w:rsidRPr="00D717BA">
              <w:rPr>
                <w:sz w:val="28"/>
                <w:szCs w:val="28"/>
              </w:rPr>
              <w:t>ПО</w:t>
            </w:r>
            <w:proofErr w:type="gramEnd"/>
            <w:r w:rsidRPr="00D717BA">
              <w:rPr>
                <w:sz w:val="28"/>
                <w:szCs w:val="28"/>
              </w:rPr>
              <w:t xml:space="preserve">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w:t>
            </w:r>
            <w:proofErr w:type="gramEnd"/>
            <w:r w:rsidRPr="00D717BA">
              <w:rPr>
                <w:sz w:val="28"/>
                <w:szCs w:val="28"/>
              </w:rPr>
              <w:t xml:space="preserve">  ПО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w:t>
            </w:r>
            <w:proofErr w:type="gramStart"/>
            <w:r w:rsidRPr="00B21585">
              <w:rPr>
                <w:b w:val="0"/>
                <w:sz w:val="28"/>
                <w:szCs w:val="28"/>
              </w:rPr>
              <w:t>с</w:t>
            </w:r>
            <w:proofErr w:type="gramEnd"/>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xml:space="preserve">,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proofErr w:type="gramStart"/>
      <w:r w:rsidRPr="00020892">
        <w:rPr>
          <w:rFonts w:ascii="Times New Roman" w:hAnsi="Times New Roman"/>
          <w:color w:val="auto"/>
          <w:sz w:val="28"/>
          <w:szCs w:val="28"/>
        </w:rPr>
        <w:t>привлекаемых</w:t>
      </w:r>
      <w:proofErr w:type="gramEnd"/>
      <w:r w:rsidRPr="00020892">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xml:space="preserve">. В целях проведения итогового сочинения (изложения) не </w:t>
      </w:r>
      <w:proofErr w:type="gramStart"/>
      <w:r w:rsidR="00C03764" w:rsidRPr="00C03764">
        <w:rPr>
          <w:b w:val="0"/>
          <w:color w:val="000000"/>
          <w:szCs w:val="28"/>
        </w:rPr>
        <w:t>позднее</w:t>
      </w:r>
      <w:proofErr w:type="gramEnd"/>
      <w:r w:rsidR="00C03764"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w:t>
      </w:r>
      <w:proofErr w:type="gramStart"/>
      <w:r w:rsidR="00C03764" w:rsidRPr="00E80948">
        <w:rPr>
          <w:sz w:val="28"/>
          <w:szCs w:val="28"/>
        </w:rPr>
        <w:t>контроль за</w:t>
      </w:r>
      <w:proofErr w:type="gramEnd"/>
      <w:r w:rsidR="00C03764" w:rsidRPr="00E80948">
        <w:rPr>
          <w:sz w:val="28"/>
          <w:szCs w:val="28"/>
        </w:rPr>
        <w:t xml:space="preserve">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proofErr w:type="gramStart"/>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roofErr w:type="gramEnd"/>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w:t>
      </w:r>
      <w:proofErr w:type="gramStart"/>
      <w:r w:rsidR="00281C2A" w:rsidRPr="00281C2A">
        <w:rPr>
          <w:b w:val="0"/>
          <w:color w:val="000000"/>
          <w:szCs w:val="28"/>
        </w:rPr>
        <w:t>позднее</w:t>
      </w:r>
      <w:proofErr w:type="gramEnd"/>
      <w:r w:rsidR="00281C2A" w:rsidRPr="00281C2A">
        <w:rPr>
          <w:b w:val="0"/>
          <w:color w:val="000000"/>
          <w:szCs w:val="28"/>
        </w:rPr>
        <w:t xml:space="preserve">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C8132C">
        <w:rPr>
          <w:b w:val="0"/>
          <w:szCs w:val="28"/>
        </w:rPr>
        <w:t>в в п</w:t>
      </w:r>
      <w:proofErr w:type="gramEnd"/>
      <w:r w:rsidR="00C8132C">
        <w:rPr>
          <w:b w:val="0"/>
          <w:szCs w:val="28"/>
        </w:rPr>
        <w:t xml:space="preserve">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w:t>
      </w:r>
      <w:proofErr w:type="gramStart"/>
      <w:r w:rsidRPr="00F47648">
        <w:rPr>
          <w:sz w:val="28"/>
          <w:szCs w:val="28"/>
        </w:rPr>
        <w:t>позднее</w:t>
      </w:r>
      <w:proofErr w:type="gramEnd"/>
      <w:r w:rsidRPr="00F47648">
        <w:rPr>
          <w:sz w:val="28"/>
          <w:szCs w:val="28"/>
        </w:rPr>
        <w:t xml:space="preserve">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Подготовить и произвести проверку работоспособности технических сре</w:t>
      </w:r>
      <w:proofErr w:type="gramStart"/>
      <w:r w:rsidRPr="00F47648">
        <w:rPr>
          <w:sz w:val="28"/>
          <w:szCs w:val="28"/>
        </w:rPr>
        <w:t>дств в п</w:t>
      </w:r>
      <w:proofErr w:type="gramEnd"/>
      <w:r w:rsidRPr="00F47648">
        <w:rPr>
          <w:sz w:val="28"/>
          <w:szCs w:val="28"/>
        </w:rPr>
        <w:t xml:space="preserve">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w:t>
      </w:r>
      <w:r w:rsidR="00101069">
        <w:rPr>
          <w:sz w:val="28"/>
          <w:szCs w:val="28"/>
        </w:rPr>
        <w:t>ная</w:t>
      </w:r>
      <w:proofErr w:type="gramEnd"/>
      <w:r w:rsidR="00101069">
        <w:rPr>
          <w:sz w:val="28"/>
          <w:szCs w:val="28"/>
        </w:rPr>
        <w:t xml:space="preserve">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Для того</w:t>
      </w:r>
      <w:proofErr w:type="gramStart"/>
      <w:r>
        <w:rPr>
          <w:sz w:val="28"/>
          <w:szCs w:val="28"/>
        </w:rPr>
        <w:t>,</w:t>
      </w:r>
      <w:proofErr w:type="gramEnd"/>
      <w:r>
        <w:rPr>
          <w:sz w:val="28"/>
          <w:szCs w:val="28"/>
        </w:rPr>
        <w:t xml:space="preserve">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proofErr w:type="gramStart"/>
      <w:r w:rsidR="006A6EB6" w:rsidRPr="006A6EB6">
        <w:rPr>
          <w:sz w:val="28"/>
          <w:szCs w:val="28"/>
        </w:rPr>
        <w:t xml:space="preserve">Начиная с 09.45 по местному времени </w:t>
      </w:r>
      <w:r w:rsidR="009E2198">
        <w:rPr>
          <w:sz w:val="28"/>
          <w:szCs w:val="28"/>
        </w:rPr>
        <w:t>сотрудник Пункта должен</w:t>
      </w:r>
      <w:proofErr w:type="gramEnd"/>
      <w:r w:rsidR="009E2198">
        <w:rPr>
          <w:sz w:val="28"/>
          <w:szCs w:val="28"/>
        </w:rPr>
        <w:t xml:space="preserve">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w:t>
      </w:r>
      <w:proofErr w:type="gramStart"/>
      <w:r>
        <w:rPr>
          <w:sz w:val="28"/>
          <w:szCs w:val="28"/>
        </w:rPr>
        <w:t>кст дл</w:t>
      </w:r>
      <w:proofErr w:type="gramEnd"/>
      <w:r>
        <w:rPr>
          <w:sz w:val="28"/>
          <w:szCs w:val="28"/>
        </w:rPr>
        <w:t>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задержкой  психического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w:t>
      </w:r>
      <w:proofErr w:type="gramEnd"/>
      <w:r w:rsidRPr="006A6EB6">
        <w:rPr>
          <w:sz w:val="28"/>
          <w:szCs w:val="28"/>
        </w:rPr>
        <w:t xml:space="preserve">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те</w:t>
      </w:r>
      <w:proofErr w:type="gramStart"/>
      <w:r w:rsidR="00524FA4" w:rsidRPr="00892061">
        <w:rPr>
          <w:sz w:val="28"/>
          <w:szCs w:val="28"/>
        </w:rPr>
        <w:t xml:space="preserve">кст </w:t>
      </w:r>
      <w:r w:rsidRPr="00892061">
        <w:rPr>
          <w:sz w:val="28"/>
          <w:szCs w:val="28"/>
        </w:rPr>
        <w:t>дл</w:t>
      </w:r>
      <w:proofErr w:type="gramEnd"/>
      <w:r w:rsidRPr="00892061">
        <w:rPr>
          <w:sz w:val="28"/>
          <w:szCs w:val="28"/>
        </w:rPr>
        <w:t xml:space="preserve">я </w:t>
      </w:r>
      <w:r w:rsidR="00524FA4" w:rsidRPr="00892061">
        <w:rPr>
          <w:sz w:val="28"/>
          <w:szCs w:val="28"/>
        </w:rPr>
        <w:t>излож</w:t>
      </w:r>
      <w:r w:rsidRPr="00892061">
        <w:rPr>
          <w:sz w:val="28"/>
          <w:szCs w:val="28"/>
        </w:rPr>
        <w:t xml:space="preserve">ения зачитывается  </w:t>
      </w:r>
      <w:r w:rsidR="00CF037F" w:rsidRPr="00892061">
        <w:rPr>
          <w:sz w:val="28"/>
          <w:szCs w:val="28"/>
        </w:rPr>
        <w:t xml:space="preserve">участникам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w:t>
      </w:r>
      <w:proofErr w:type="gramStart"/>
      <w:r w:rsidR="00F874C3" w:rsidRPr="00892061">
        <w:rPr>
          <w:sz w:val="28"/>
          <w:szCs w:val="28"/>
        </w:rPr>
        <w:t>кст</w:t>
      </w:r>
      <w:r w:rsidRPr="00892061">
        <w:rPr>
          <w:sz w:val="28"/>
          <w:szCs w:val="28"/>
        </w:rPr>
        <w:t xml:space="preserve"> дл</w:t>
      </w:r>
      <w:proofErr w:type="gramEnd"/>
      <w:r w:rsidRPr="00892061">
        <w:rPr>
          <w:sz w:val="28"/>
          <w:szCs w:val="28"/>
        </w:rPr>
        <w:t>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черновиков, выписывая ключевые слова, составляя план изложения (переписывать те</w:t>
      </w:r>
      <w:proofErr w:type="gramStart"/>
      <w:r w:rsidRPr="00892061">
        <w:rPr>
          <w:sz w:val="28"/>
          <w:szCs w:val="28"/>
        </w:rPr>
        <w:t>кст дл</w:t>
      </w:r>
      <w:proofErr w:type="gramEnd"/>
      <w:r w:rsidRPr="00892061">
        <w:rPr>
          <w:sz w:val="28"/>
          <w:szCs w:val="28"/>
        </w:rPr>
        <w:t xml:space="preserve">я итогового </w:t>
      </w:r>
      <w:r w:rsidR="00F874C3" w:rsidRPr="00892061">
        <w:rPr>
          <w:sz w:val="28"/>
          <w:szCs w:val="28"/>
        </w:rPr>
        <w:t xml:space="preserve">изложения  в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w:t>
      </w:r>
      <w:proofErr w:type="gramStart"/>
      <w:r w:rsidRPr="00892061">
        <w:rPr>
          <w:sz w:val="28"/>
          <w:szCs w:val="28"/>
        </w:rPr>
        <w:t>кст дл</w:t>
      </w:r>
      <w:proofErr w:type="gramEnd"/>
      <w:r w:rsidRPr="00892061">
        <w:rPr>
          <w:sz w:val="28"/>
          <w:szCs w:val="28"/>
        </w:rPr>
        <w:t>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w:t>
      </w:r>
      <w:proofErr w:type="gramStart"/>
      <w:r w:rsidR="00655C4D" w:rsidRPr="00892061">
        <w:rPr>
          <w:sz w:val="28"/>
          <w:szCs w:val="28"/>
        </w:rPr>
        <w:t>осуществлен</w:t>
      </w:r>
      <w:proofErr w:type="gramEnd"/>
      <w:r w:rsidR="00655C4D" w:rsidRPr="00892061">
        <w:rPr>
          <w:sz w:val="28"/>
          <w:szCs w:val="28"/>
        </w:rPr>
        <w:t xml:space="preserve"> </w:t>
      </w:r>
      <w:proofErr w:type="spellStart"/>
      <w:r w:rsidRPr="00892061">
        <w:rPr>
          <w:sz w:val="28"/>
          <w:szCs w:val="28"/>
        </w:rPr>
        <w:t>сурдопере</w:t>
      </w:r>
      <w:r w:rsidR="00655C4D" w:rsidRPr="00892061">
        <w:rPr>
          <w:sz w:val="28"/>
          <w:szCs w:val="28"/>
        </w:rPr>
        <w:t>вод</w:t>
      </w:r>
      <w:proofErr w:type="spellEnd"/>
      <w:r w:rsidR="00655C4D" w:rsidRPr="00892061">
        <w:rPr>
          <w:sz w:val="28"/>
          <w:szCs w:val="28"/>
        </w:rPr>
        <w:t xml:space="preserve">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w:t>
      </w:r>
      <w:proofErr w:type="spellStart"/>
      <w:r w:rsidR="00655C4D" w:rsidRPr="00892061">
        <w:rPr>
          <w:sz w:val="28"/>
          <w:szCs w:val="28"/>
        </w:rPr>
        <w:t>сурдоперевода</w:t>
      </w:r>
      <w:proofErr w:type="spellEnd"/>
      <w:r w:rsidR="00655C4D" w:rsidRPr="00892061">
        <w:rPr>
          <w:sz w:val="28"/>
          <w:szCs w:val="28"/>
        </w:rPr>
        <w:t xml:space="preserve">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я, которым те</w:t>
      </w:r>
      <w:proofErr w:type="gramStart"/>
      <w:r w:rsidR="008A563B" w:rsidRPr="00892061">
        <w:rPr>
          <w:sz w:val="28"/>
          <w:szCs w:val="28"/>
        </w:rPr>
        <w:t>кст дл</w:t>
      </w:r>
      <w:proofErr w:type="gramEnd"/>
      <w:r w:rsidR="008A563B" w:rsidRPr="00892061">
        <w:rPr>
          <w:sz w:val="28"/>
          <w:szCs w:val="28"/>
        </w:rPr>
        <w:t xml:space="preserve">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участников итогового изложения, которым те</w:t>
      </w:r>
      <w:proofErr w:type="gramStart"/>
      <w:r w:rsidR="00A15182" w:rsidRPr="00892061">
        <w:rPr>
          <w:sz w:val="28"/>
          <w:szCs w:val="28"/>
        </w:rPr>
        <w:t>кст дл</w:t>
      </w:r>
      <w:proofErr w:type="gramEnd"/>
      <w:r w:rsidR="00A15182" w:rsidRPr="00892061">
        <w:rPr>
          <w:sz w:val="28"/>
          <w:szCs w:val="28"/>
        </w:rPr>
        <w:t xml:space="preserve">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proofErr w:type="gramStart"/>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A6EB6">
        <w:rPr>
          <w:sz w:val="28"/>
          <w:szCs w:val="28"/>
        </w:rPr>
        <w:t xml:space="preserve">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proofErr w:type="gramStart"/>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roofErr w:type="gramEnd"/>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r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w:t>
      </w:r>
      <w:proofErr w:type="gramStart"/>
      <w:r w:rsidRPr="00915C56">
        <w:rPr>
          <w:sz w:val="28"/>
          <w:szCs w:val="28"/>
        </w:rPr>
        <w:t>зарегистрирован</w:t>
      </w:r>
      <w:proofErr w:type="gramEnd"/>
      <w:r w:rsidRPr="00915C56">
        <w:rPr>
          <w:sz w:val="28"/>
          <w:szCs w:val="28"/>
        </w:rPr>
        <w:t xml:space="preserve">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w:t>
      </w:r>
      <w:proofErr w:type="gramEnd"/>
      <w:r>
        <w:rPr>
          <w:i/>
          <w:color w:val="000000"/>
          <w:sz w:val="26"/>
          <w:szCs w:val="26"/>
        </w:rPr>
        <w:t xml:space="preserve">  </w:t>
      </w:r>
      <w:proofErr w:type="gramStart"/>
      <w:r>
        <w:rPr>
          <w:i/>
          <w:color w:val="000000"/>
          <w:sz w:val="26"/>
          <w:szCs w:val="26"/>
        </w:rPr>
        <w:t>Поле «Количество бланков записи» заполняется</w:t>
      </w:r>
      <w:r w:rsidRPr="00862728">
        <w:rPr>
          <w:i/>
          <w:color w:val="000000"/>
          <w:sz w:val="26"/>
          <w:szCs w:val="26"/>
        </w:rPr>
        <w:t xml:space="preserve"> членом  ком</w:t>
      </w:r>
      <w:r>
        <w:rPr>
          <w:i/>
          <w:color w:val="000000"/>
          <w:sz w:val="26"/>
          <w:szCs w:val="26"/>
        </w:rPr>
        <w:t>иссии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roofErr w:type="gramEnd"/>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lastRenderedPageBreak/>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lastRenderedPageBreak/>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w:t>
      </w:r>
      <w:proofErr w:type="gramStart"/>
      <w:r>
        <w:rPr>
          <w:i/>
          <w:sz w:val="28"/>
          <w:szCs w:val="28"/>
          <w:lang w:eastAsia="zh-CN"/>
        </w:rPr>
        <w:t xml:space="preserve">кст </w:t>
      </w:r>
      <w:r w:rsidRPr="00E03A94">
        <w:rPr>
          <w:i/>
          <w:sz w:val="28"/>
          <w:szCs w:val="28"/>
          <w:lang w:eastAsia="zh-CN"/>
        </w:rPr>
        <w:t>дл</w:t>
      </w:r>
      <w:proofErr w:type="gramEnd"/>
      <w:r w:rsidRPr="00E03A94">
        <w:rPr>
          <w:i/>
          <w:sz w:val="28"/>
          <w:szCs w:val="28"/>
          <w:lang w:eastAsia="zh-CN"/>
        </w:rPr>
        <w:t xml:space="preserve">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w:t>
      </w:r>
      <w:proofErr w:type="gramStart"/>
      <w:r>
        <w:rPr>
          <w:i/>
          <w:sz w:val="28"/>
          <w:szCs w:val="28"/>
          <w:lang w:eastAsia="zh-CN"/>
        </w:rPr>
        <w:t>кст</w:t>
      </w:r>
      <w:r w:rsidRPr="00E03A94">
        <w:rPr>
          <w:i/>
          <w:sz w:val="28"/>
          <w:szCs w:val="28"/>
          <w:lang w:eastAsia="zh-CN"/>
        </w:rPr>
        <w:t xml:space="preserve"> дл</w:t>
      </w:r>
      <w:proofErr w:type="gramEnd"/>
      <w:r w:rsidRPr="00E03A94">
        <w:rPr>
          <w:i/>
          <w:sz w:val="28"/>
          <w:szCs w:val="28"/>
          <w:lang w:eastAsia="zh-CN"/>
        </w:rPr>
        <w:t xml:space="preserve">я  итогового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те</w:t>
      </w:r>
      <w:proofErr w:type="gramStart"/>
      <w:r w:rsidRPr="00E03A94">
        <w:rPr>
          <w:i/>
          <w:sz w:val="28"/>
          <w:szCs w:val="28"/>
          <w:lang w:eastAsia="zh-CN"/>
        </w:rPr>
        <w:t xml:space="preserve">кст </w:t>
      </w:r>
      <w:r>
        <w:rPr>
          <w:i/>
          <w:sz w:val="28"/>
          <w:szCs w:val="28"/>
          <w:lang w:eastAsia="zh-CN"/>
        </w:rPr>
        <w:t>дл</w:t>
      </w:r>
      <w:proofErr w:type="gramEnd"/>
      <w:r>
        <w:rPr>
          <w:i/>
          <w:sz w:val="28"/>
          <w:szCs w:val="28"/>
          <w:lang w:eastAsia="zh-CN"/>
        </w:rPr>
        <w:t>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lastRenderedPageBreak/>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5"/>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6D" w:rsidRDefault="003A426D">
      <w:r>
        <w:separator/>
      </w:r>
    </w:p>
  </w:endnote>
  <w:endnote w:type="continuationSeparator" w:id="0">
    <w:p w:rsidR="003A426D" w:rsidRDefault="003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6D" w:rsidRDefault="003A426D">
      <w:r>
        <w:separator/>
      </w:r>
    </w:p>
  </w:footnote>
  <w:footnote w:type="continuationSeparator" w:id="0">
    <w:p w:rsidR="003A426D" w:rsidRDefault="003A426D">
      <w:r>
        <w:continuationSeparator/>
      </w:r>
    </w:p>
  </w:footnote>
  <w:footnote w:id="1">
    <w:p w:rsidR="001205E6" w:rsidRDefault="001205E6" w:rsidP="001205E6">
      <w:pPr>
        <w:pStyle w:val="af0"/>
      </w:pPr>
      <w:r>
        <w:rPr>
          <w:rStyle w:val="af2"/>
        </w:rPr>
        <w:footnoteRef/>
      </w:r>
      <w:r>
        <w:t xml:space="preserve"> </w:t>
      </w:r>
      <w:proofErr w:type="gramStart"/>
      <w: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w:t>
      </w:r>
      <w:proofErr w:type="gramStart"/>
      <w:r>
        <w:t>на</w:t>
      </w:r>
      <w:proofErr w:type="gramEnd"/>
      <w:r>
        <w:t xml:space="preserve"> </w:t>
      </w:r>
    </w:p>
    <w:p w:rsidR="00795B35" w:rsidRDefault="00795B35" w:rsidP="00D65542">
      <w:pPr>
        <w:pStyle w:val="af0"/>
      </w:pPr>
      <w:proofErr w:type="gramStart"/>
      <w:r>
        <w:t xml:space="preserve">подготовительные  мероприятия  (инструктаж  участников  итогового  сочинения  (изложения),  заполнение  ими </w:t>
      </w:r>
      <w:proofErr w:type="gramEnd"/>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proofErr w:type="gramStart"/>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roofErr w:type="gramEnd"/>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w:t>
      </w:r>
      <w:proofErr w:type="gramStart"/>
      <w:r>
        <w:t>кст  дл</w:t>
      </w:r>
      <w:proofErr w:type="gramEnd"/>
      <w:r>
        <w:t>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w:t>
      </w:r>
      <w:proofErr w:type="gramStart"/>
      <w:r>
        <w:t>кст  дл</w:t>
      </w:r>
      <w:proofErr w:type="gramEnd"/>
      <w:r>
        <w:t xml:space="preserve">я  итогового  изложения  выдается  участникам  для  чтения  и  проведения  подготовительной работы  на  40  минут.  </w:t>
      </w:r>
      <w:proofErr w:type="gramStart"/>
      <w:r>
        <w:t xml:space="preserve">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roofErr w:type="gramEnd"/>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w:t>
      </w:r>
      <w:proofErr w:type="gramStart"/>
      <w:r>
        <w:t>кст дл</w:t>
      </w:r>
      <w:proofErr w:type="gramEnd"/>
      <w:r>
        <w:t>я итогового изложения, и участники приступают к написанию итогового изложения.</w:t>
      </w:r>
    </w:p>
    <w:p w:rsidR="00C36746" w:rsidRDefault="00C36746" w:rsidP="00C36746">
      <w:pPr>
        <w:pStyle w:val="af0"/>
        <w:jc w:val="both"/>
      </w:pPr>
      <w:proofErr w:type="gramStart"/>
      <w:r>
        <w:t xml:space="preserve">Для  глухих,  </w:t>
      </w:r>
      <w:proofErr w:type="spellStart"/>
      <w:r>
        <w:t>позднооглоших</w:t>
      </w:r>
      <w:proofErr w:type="spellEnd"/>
      <w:r>
        <w:t xml:space="preserve">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w:t>
      </w:r>
      <w:proofErr w:type="gramEnd"/>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C5A"/>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26D"/>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63D"/>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DBC"/>
    <w:rsid w:val="006E08CA"/>
    <w:rsid w:val="006E42F1"/>
    <w:rsid w:val="006E440B"/>
    <w:rsid w:val="006E50A4"/>
    <w:rsid w:val="006E5416"/>
    <w:rsid w:val="006E62CD"/>
    <w:rsid w:val="006E6B91"/>
    <w:rsid w:val="006E7A6F"/>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ge.edu.ru/ru/classes-11/res/"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1CF3-0BAC-4708-BBD8-F9712EAE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19253</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2021-04-14T13:49:00Z</dcterms:created>
  <dcterms:modified xsi:type="dcterms:W3CDTF">2021-04-14T13:49:00Z</dcterms:modified>
</cp:coreProperties>
</file>